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6D" w:rsidRDefault="00617EA3" w:rsidP="00617EA3">
      <w:pPr>
        <w:jc w:val="right"/>
      </w:pPr>
      <w:r>
        <w:rPr>
          <w:noProof/>
          <w:lang w:val="en-US"/>
        </w:rPr>
        <w:drawing>
          <wp:inline distT="0" distB="0" distL="0" distR="0" wp14:anchorId="13CCF987" wp14:editId="398D695D">
            <wp:extent cx="877850" cy="416607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2472" cy="42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EA3" w:rsidRDefault="00617EA3"/>
    <w:p w:rsidR="00617EA3" w:rsidRPr="00CB1EBB" w:rsidRDefault="00617EA3" w:rsidP="00617EA3">
      <w:pPr>
        <w:pStyle w:val="Heading2"/>
      </w:pPr>
      <w:r w:rsidRPr="00CB1EBB">
        <w:t>Key terms</w:t>
      </w:r>
      <w:r>
        <w:t xml:space="preserve"> used during </w:t>
      </w:r>
      <w:r>
        <w:t xml:space="preserve">face-to-face training </w:t>
      </w:r>
      <w:r>
        <w:t xml:space="preserve"> </w:t>
      </w:r>
    </w:p>
    <w:p w:rsidR="00617EA3" w:rsidRDefault="00617EA3" w:rsidP="00617EA3">
      <w:pPr>
        <w:pStyle w:val="Heading4"/>
        <w:rPr>
          <w:b w:val="0"/>
          <w:i w:val="0"/>
          <w:lang w:eastAsia="en-AU"/>
        </w:rPr>
      </w:pPr>
      <w:r>
        <w:rPr>
          <w:b w:val="0"/>
          <w:i w:val="0"/>
          <w:lang w:eastAsia="en-AU"/>
        </w:rPr>
        <w:t>The following key terms are provided for information only for the trainer.</w:t>
      </w:r>
    </w:p>
    <w:p w:rsidR="00617EA3" w:rsidRPr="0093327E" w:rsidRDefault="00617EA3" w:rsidP="00617EA3">
      <w:pPr>
        <w:rPr>
          <w:lang w:eastAsia="en-AU"/>
        </w:rPr>
      </w:pPr>
      <w:bookmarkStart w:id="0" w:name="_GoBack"/>
      <w:bookmarkEnd w:id="0"/>
    </w:p>
    <w:p w:rsidR="00617EA3" w:rsidRPr="005423A5" w:rsidRDefault="00617EA3" w:rsidP="00617EA3">
      <w:pPr>
        <w:pStyle w:val="Heading4"/>
        <w:spacing w:before="0" w:line="276" w:lineRule="auto"/>
        <w:rPr>
          <w:lang w:eastAsia="en-AU"/>
        </w:rPr>
      </w:pPr>
      <w:r w:rsidRPr="005423A5">
        <w:rPr>
          <w:lang w:eastAsia="en-AU"/>
        </w:rPr>
        <w:t>Dependence</w:t>
      </w:r>
    </w:p>
    <w:p w:rsidR="00617EA3" w:rsidRDefault="00617EA3" w:rsidP="00617EA3">
      <w:pPr>
        <w:spacing w:line="276" w:lineRule="auto"/>
        <w:rPr>
          <w:bdr w:val="none" w:sz="0" w:space="0" w:color="auto" w:frame="1"/>
          <w:lang w:eastAsia="en-AU"/>
        </w:rPr>
      </w:pPr>
      <w:r w:rsidRPr="005423A5">
        <w:rPr>
          <w:bdr w:val="none" w:sz="0" w:space="0" w:color="auto" w:frame="1"/>
          <w:lang w:eastAsia="en-AU"/>
        </w:rPr>
        <w:t xml:space="preserve">In strict pharmacological terms, </w:t>
      </w:r>
      <w:r w:rsidRPr="0018504C">
        <w:rPr>
          <w:b/>
          <w:bdr w:val="none" w:sz="0" w:space="0" w:color="auto" w:frame="1"/>
          <w:lang w:eastAsia="en-AU"/>
        </w:rPr>
        <w:t>dependence</w:t>
      </w:r>
      <w:r w:rsidRPr="005423A5">
        <w:rPr>
          <w:bdr w:val="none" w:sz="0" w:space="0" w:color="auto" w:frame="1"/>
          <w:lang w:eastAsia="en-AU"/>
        </w:rPr>
        <w:t xml:space="preserve"> refers to a state that develops during chronic medicine treatment in which stopping the medicine elicits symptoms of withdrawal. </w:t>
      </w:r>
    </w:p>
    <w:p w:rsidR="00617EA3" w:rsidRPr="005F16A6" w:rsidRDefault="00617EA3" w:rsidP="00617EA3">
      <w:pPr>
        <w:spacing w:line="276" w:lineRule="auto"/>
        <w:rPr>
          <w:bdr w:val="none" w:sz="0" w:space="0" w:color="auto" w:frame="1"/>
          <w:lang w:eastAsia="en-AU"/>
        </w:rPr>
      </w:pPr>
    </w:p>
    <w:p w:rsidR="00617EA3" w:rsidRPr="005423A5" w:rsidRDefault="00617EA3" w:rsidP="00617EA3">
      <w:pPr>
        <w:pStyle w:val="Heading4"/>
        <w:spacing w:before="0" w:line="276" w:lineRule="auto"/>
      </w:pPr>
      <w:r w:rsidRPr="005423A5">
        <w:t>High-risk medicines</w:t>
      </w:r>
    </w:p>
    <w:p w:rsidR="00617EA3" w:rsidRPr="005423A5" w:rsidRDefault="00617EA3" w:rsidP="00617EA3">
      <w:pPr>
        <w:spacing w:line="276" w:lineRule="auto"/>
      </w:pPr>
      <w:r w:rsidRPr="005423A5">
        <w:t xml:space="preserve">For the purposes of this </w:t>
      </w:r>
      <w:r>
        <w:t>training</w:t>
      </w:r>
      <w:r w:rsidRPr="005423A5">
        <w:t>, high-risk medicines are medicines where there is a risk of dependence or use beyond therapeutic need.</w:t>
      </w:r>
    </w:p>
    <w:p w:rsidR="00617EA3" w:rsidRPr="005D2AA8" w:rsidRDefault="00617EA3" w:rsidP="00617EA3">
      <w:pPr>
        <w:spacing w:line="276" w:lineRule="auto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5D2AA8">
        <w:rPr>
          <w:lang w:eastAsia="en-AU"/>
        </w:rPr>
        <w:t xml:space="preserve">The supply of the following prescription medicines will be monitored through the </w:t>
      </w:r>
      <w:r w:rsidRPr="0094204D">
        <w:rPr>
          <w:color w:val="000000"/>
          <w:lang w:eastAsia="en-AU"/>
        </w:rPr>
        <w:t>SafeScript system</w:t>
      </w:r>
      <w:r w:rsidRPr="006E44CB">
        <w:rPr>
          <w:lang w:eastAsia="en-AU"/>
        </w:rPr>
        <w:t>: </w:t>
      </w:r>
    </w:p>
    <w:p w:rsidR="00617EA3" w:rsidRPr="005D2AA8" w:rsidRDefault="00617EA3" w:rsidP="00617EA3">
      <w:pPr>
        <w:pStyle w:val="NPSbullet2"/>
        <w:spacing w:line="276" w:lineRule="auto"/>
        <w:rPr>
          <w:rFonts w:ascii="Times New Roman" w:hAnsi="Times New Roman"/>
        </w:rPr>
      </w:pPr>
      <w:r w:rsidRPr="005D2AA8">
        <w:rPr>
          <w:rFonts w:eastAsiaTheme="majorEastAsia"/>
        </w:rPr>
        <w:t>All Schedule 8 medicines</w:t>
      </w:r>
      <w:r w:rsidRPr="005D2AA8">
        <w:rPr>
          <w:rFonts w:ascii="Times New Roman" w:eastAsiaTheme="majorEastAsia" w:hAnsi="Times New Roman"/>
          <w:lang w:val="en"/>
        </w:rPr>
        <w:t> </w:t>
      </w:r>
      <w:r w:rsidRPr="005D2AA8">
        <w:rPr>
          <w:rFonts w:ascii="Times New Roman" w:eastAsiaTheme="majorEastAsia" w:hAnsi="Times New Roman"/>
        </w:rPr>
        <w:t> </w:t>
      </w:r>
    </w:p>
    <w:p w:rsidR="00617EA3" w:rsidRPr="005D2AA8" w:rsidRDefault="00617EA3" w:rsidP="00617EA3">
      <w:pPr>
        <w:pStyle w:val="NPSbullet2"/>
        <w:spacing w:line="276" w:lineRule="auto"/>
      </w:pPr>
      <w:r w:rsidRPr="005D2AA8">
        <w:rPr>
          <w:rFonts w:eastAsiaTheme="majorEastAsia"/>
        </w:rPr>
        <w:t>Selected S</w:t>
      </w:r>
      <w:r>
        <w:rPr>
          <w:rFonts w:eastAsiaTheme="majorEastAsia"/>
        </w:rPr>
        <w:t>chedule 4 medicines including  </w:t>
      </w:r>
    </w:p>
    <w:p w:rsidR="00617EA3" w:rsidRPr="005D2AA8" w:rsidRDefault="00617EA3" w:rsidP="00617EA3">
      <w:pPr>
        <w:pStyle w:val="subbullet"/>
        <w:tabs>
          <w:tab w:val="clear" w:pos="1071"/>
          <w:tab w:val="num" w:pos="1431"/>
        </w:tabs>
        <w:spacing w:line="276" w:lineRule="auto"/>
      </w:pPr>
      <w:r w:rsidRPr="005D2AA8">
        <w:rPr>
          <w:rFonts w:eastAsiaTheme="majorEastAsia"/>
        </w:rPr>
        <w:t>all benzodiazepines (bromazepam, clobazam, clonazepam, diazepam, lorazepam, midazolam, nitrazepam, oxazepam, temazepam)  </w:t>
      </w:r>
    </w:p>
    <w:p w:rsidR="00617EA3" w:rsidRPr="005D2AA8" w:rsidRDefault="00617EA3" w:rsidP="00617EA3">
      <w:pPr>
        <w:pStyle w:val="subbullet"/>
        <w:tabs>
          <w:tab w:val="clear" w:pos="1071"/>
          <w:tab w:val="num" w:pos="1431"/>
        </w:tabs>
        <w:spacing w:line="276" w:lineRule="auto"/>
      </w:pPr>
      <w:r w:rsidRPr="005D2AA8">
        <w:rPr>
          <w:rFonts w:eastAsiaTheme="majorEastAsia"/>
        </w:rPr>
        <w:t>Z-</w:t>
      </w:r>
      <w:r>
        <w:rPr>
          <w:rFonts w:eastAsiaTheme="majorEastAsia"/>
        </w:rPr>
        <w:t>drugs (zopiclone and zolpidem) </w:t>
      </w:r>
    </w:p>
    <w:p w:rsidR="00617EA3" w:rsidRPr="005D2AA8" w:rsidRDefault="00617EA3" w:rsidP="00617EA3">
      <w:pPr>
        <w:pStyle w:val="subbullet"/>
        <w:tabs>
          <w:tab w:val="clear" w:pos="1071"/>
          <w:tab w:val="num" w:pos="1431"/>
        </w:tabs>
        <w:spacing w:line="276" w:lineRule="auto"/>
      </w:pPr>
      <w:r>
        <w:rPr>
          <w:rFonts w:eastAsiaTheme="majorEastAsia"/>
        </w:rPr>
        <w:t>quetiapine </w:t>
      </w:r>
    </w:p>
    <w:p w:rsidR="00617EA3" w:rsidRPr="005D2AA8" w:rsidRDefault="00617EA3" w:rsidP="00617EA3">
      <w:pPr>
        <w:pStyle w:val="subbullet"/>
        <w:tabs>
          <w:tab w:val="clear" w:pos="1071"/>
          <w:tab w:val="num" w:pos="1431"/>
        </w:tabs>
        <w:spacing w:line="276" w:lineRule="auto"/>
      </w:pPr>
      <w:r w:rsidRPr="005D2AA8">
        <w:rPr>
          <w:rFonts w:eastAsiaTheme="majorEastAsia"/>
        </w:rPr>
        <w:t>combination medicines containi</w:t>
      </w:r>
      <w:r>
        <w:rPr>
          <w:rFonts w:eastAsiaTheme="majorEastAsia"/>
        </w:rPr>
        <w:t>ng codeine. </w:t>
      </w:r>
    </w:p>
    <w:p w:rsidR="00617EA3" w:rsidRPr="0027545D" w:rsidRDefault="00617EA3" w:rsidP="00617EA3">
      <w:pPr>
        <w:spacing w:after="240" w:line="276" w:lineRule="auto"/>
        <w:textAlignment w:val="baseline"/>
        <w:rPr>
          <w:color w:val="0563C1"/>
          <w:u w:val="single"/>
          <w:lang w:eastAsia="en-AU"/>
        </w:rPr>
      </w:pPr>
      <w:r w:rsidRPr="005D2AA8">
        <w:rPr>
          <w:lang w:eastAsia="en-AU"/>
        </w:rPr>
        <w:t>It is possible that</w:t>
      </w:r>
      <w:r>
        <w:rPr>
          <w:lang w:eastAsia="en-AU"/>
        </w:rPr>
        <w:t xml:space="preserve"> new medicines will be added to </w:t>
      </w:r>
      <w:r w:rsidRPr="005D2AA8">
        <w:rPr>
          <w:rFonts w:cs="Arial"/>
          <w:lang w:eastAsia="en-AU"/>
        </w:rPr>
        <w:t>SafeScript</w:t>
      </w:r>
      <w:r>
        <w:rPr>
          <w:lang w:eastAsia="en-AU"/>
        </w:rPr>
        <w:t xml:space="preserve"> </w:t>
      </w:r>
      <w:r w:rsidRPr="005D2AA8">
        <w:rPr>
          <w:lang w:eastAsia="en-AU"/>
        </w:rPr>
        <w:t xml:space="preserve">over time. To find out more about the monitored medicines, </w:t>
      </w:r>
      <w:r>
        <w:rPr>
          <w:lang w:eastAsia="en-AU"/>
        </w:rPr>
        <w:t xml:space="preserve">visit </w:t>
      </w:r>
      <w:hyperlink r:id="rId6" w:history="1">
        <w:r>
          <w:rPr>
            <w:rStyle w:val="Hyperlink"/>
            <w:lang w:eastAsia="en-AU"/>
          </w:rPr>
          <w:t>health.vic.gov.au/SafeS</w:t>
        </w:r>
        <w:r w:rsidRPr="00BC5947">
          <w:rPr>
            <w:rStyle w:val="Hyperlink"/>
            <w:lang w:eastAsia="en-AU"/>
          </w:rPr>
          <w:t>cript</w:t>
        </w:r>
      </w:hyperlink>
      <w:r>
        <w:rPr>
          <w:rStyle w:val="Hyperlink"/>
          <w:lang w:eastAsia="en-AU"/>
        </w:rPr>
        <w:t>.</w:t>
      </w:r>
    </w:p>
    <w:p w:rsidR="00617EA3" w:rsidRPr="005423A5" w:rsidRDefault="00617EA3" w:rsidP="00617EA3">
      <w:pPr>
        <w:pStyle w:val="Heading4"/>
        <w:spacing w:before="0" w:line="276" w:lineRule="auto"/>
        <w:rPr>
          <w:lang w:eastAsia="en-AU"/>
        </w:rPr>
      </w:pPr>
      <w:r w:rsidRPr="005423A5">
        <w:rPr>
          <w:lang w:eastAsia="en-AU"/>
        </w:rPr>
        <w:t xml:space="preserve">High-risk use </w:t>
      </w:r>
    </w:p>
    <w:p w:rsidR="00617EA3" w:rsidRDefault="00617EA3" w:rsidP="00617EA3">
      <w:pPr>
        <w:pStyle w:val="NPSbullet2"/>
        <w:numPr>
          <w:ilvl w:val="0"/>
          <w:numId w:val="0"/>
        </w:numPr>
        <w:spacing w:line="276" w:lineRule="auto"/>
      </w:pPr>
      <w:r>
        <w:t>A n</w:t>
      </w:r>
      <w:r w:rsidRPr="00417B43">
        <w:t>on-stigmatising term for</w:t>
      </w:r>
      <w:r w:rsidRPr="00597991">
        <w:rPr>
          <w:rStyle w:val="Strong"/>
        </w:rPr>
        <w:t xml:space="preserve"> misuse</w:t>
      </w:r>
      <w:r w:rsidRPr="00417B43">
        <w:t xml:space="preserve"> related to high-risk medicines. </w:t>
      </w:r>
    </w:p>
    <w:p w:rsidR="00617EA3" w:rsidRDefault="00617EA3" w:rsidP="00617EA3">
      <w:pPr>
        <w:pStyle w:val="NPSbullet2"/>
        <w:numPr>
          <w:ilvl w:val="0"/>
          <w:numId w:val="0"/>
        </w:numPr>
        <w:spacing w:line="276" w:lineRule="auto"/>
      </w:pPr>
    </w:p>
    <w:p w:rsidR="00617EA3" w:rsidRDefault="00617EA3" w:rsidP="00617EA3">
      <w:pPr>
        <w:pStyle w:val="NPSbullet2"/>
        <w:numPr>
          <w:ilvl w:val="0"/>
          <w:numId w:val="0"/>
        </w:numPr>
        <w:spacing w:line="276" w:lineRule="auto"/>
      </w:pPr>
    </w:p>
    <w:p w:rsidR="00617EA3" w:rsidRDefault="00617EA3" w:rsidP="00617EA3">
      <w:pPr>
        <w:pStyle w:val="Heading4"/>
        <w:spacing w:before="0" w:line="276" w:lineRule="auto"/>
      </w:pPr>
      <w:r w:rsidRPr="00D80158">
        <w:t>Misuse</w:t>
      </w:r>
      <w:r w:rsidRPr="005423A5">
        <w:t xml:space="preserve"> </w:t>
      </w:r>
    </w:p>
    <w:p w:rsidR="00617EA3" w:rsidRDefault="00617EA3" w:rsidP="00617EA3">
      <w:pPr>
        <w:spacing w:line="276" w:lineRule="auto"/>
        <w:rPr>
          <w:rFonts w:cs="Arial"/>
          <w:szCs w:val="20"/>
        </w:rPr>
      </w:pPr>
      <w:r>
        <w:t xml:space="preserve">Misuse </w:t>
      </w:r>
      <w:r w:rsidRPr="005423A5">
        <w:t>refers to the use of a substance for a purpose that is not consistent with legal or medical guidelines, and includes the non-medical use of prescription medication</w:t>
      </w:r>
      <w:r>
        <w:t>.</w:t>
      </w:r>
      <w:r w:rsidRPr="005423A5">
        <w:t xml:space="preserve"> Patients may inadvertently misuse medicines by taking them as prescribed but in response to inappropriate prescribing practices. Patients may also d</w:t>
      </w:r>
      <w:r w:rsidRPr="005423A5">
        <w:rPr>
          <w:rFonts w:cs="Arial"/>
          <w:szCs w:val="20"/>
        </w:rPr>
        <w:t>eliberately misuse medicine for non-medical purposes</w:t>
      </w:r>
      <w:r>
        <w:rPr>
          <w:rFonts w:cs="Arial"/>
          <w:szCs w:val="20"/>
        </w:rPr>
        <w:t>.</w:t>
      </w:r>
      <w:r w:rsidRPr="005423A5">
        <w:rPr>
          <w:rFonts w:cs="Arial"/>
          <w:szCs w:val="20"/>
        </w:rPr>
        <w:t xml:space="preserve"> </w:t>
      </w:r>
    </w:p>
    <w:p w:rsidR="00617EA3" w:rsidRPr="005423A5" w:rsidRDefault="00617EA3" w:rsidP="00617EA3">
      <w:pPr>
        <w:spacing w:line="276" w:lineRule="auto"/>
        <w:rPr>
          <w:rFonts w:cs="Arial"/>
          <w:szCs w:val="20"/>
        </w:rPr>
      </w:pPr>
    </w:p>
    <w:p w:rsidR="00617EA3" w:rsidRDefault="00617EA3" w:rsidP="00617EA3">
      <w:pPr>
        <w:spacing w:line="276" w:lineRule="auto"/>
        <w:rPr>
          <w:bdr w:val="none" w:sz="0" w:space="0" w:color="auto" w:frame="1"/>
          <w:lang w:eastAsia="en-AU"/>
        </w:rPr>
      </w:pPr>
      <w:r w:rsidRPr="005423A5">
        <w:rPr>
          <w:b/>
          <w:bdr w:val="none" w:sz="0" w:space="0" w:color="auto" w:frame="1"/>
          <w:lang w:eastAsia="en-AU"/>
        </w:rPr>
        <w:lastRenderedPageBreak/>
        <w:t>Psychological dependence</w:t>
      </w:r>
      <w:r w:rsidRPr="005423A5">
        <w:rPr>
          <w:bdr w:val="none" w:sz="0" w:space="0" w:color="auto" w:frame="1"/>
          <w:lang w:eastAsia="en-AU"/>
        </w:rPr>
        <w:t xml:space="preserve"> refers to the experience of impaired control over substance use, while </w:t>
      </w:r>
      <w:r w:rsidRPr="005423A5">
        <w:rPr>
          <w:b/>
          <w:bdr w:val="none" w:sz="0" w:space="0" w:color="auto" w:frame="1"/>
          <w:lang w:eastAsia="en-AU"/>
        </w:rPr>
        <w:t>physiological or physical dependence</w:t>
      </w:r>
      <w:r w:rsidRPr="005423A5">
        <w:rPr>
          <w:bdr w:val="none" w:sz="0" w:space="0" w:color="auto" w:frame="1"/>
          <w:lang w:eastAsia="en-AU"/>
        </w:rPr>
        <w:t xml:space="preserve"> refers to tolerance or withdrawal symptoms.</w:t>
      </w:r>
      <w:r w:rsidRPr="005423A5" w:rsidDel="00A1178D">
        <w:rPr>
          <w:bdr w:val="none" w:sz="0" w:space="0" w:color="auto" w:frame="1"/>
          <w:lang w:eastAsia="en-AU"/>
        </w:rPr>
        <w:t xml:space="preserve"> </w:t>
      </w:r>
      <w:r w:rsidRPr="005423A5">
        <w:rPr>
          <w:bdr w:val="none" w:sz="0" w:space="0" w:color="auto" w:frame="1"/>
          <w:lang w:eastAsia="en-AU"/>
        </w:rPr>
        <w:t xml:space="preserve">The term </w:t>
      </w:r>
      <w:r>
        <w:rPr>
          <w:bdr w:val="none" w:sz="0" w:space="0" w:color="auto" w:frame="1"/>
          <w:lang w:eastAsia="en-AU"/>
        </w:rPr>
        <w:t xml:space="preserve">‘dependence’ has </w:t>
      </w:r>
      <w:r w:rsidRPr="005423A5">
        <w:rPr>
          <w:bdr w:val="none" w:sz="0" w:space="0" w:color="auto" w:frame="1"/>
          <w:lang w:eastAsia="en-AU"/>
        </w:rPr>
        <w:t xml:space="preserve">also </w:t>
      </w:r>
      <w:r>
        <w:rPr>
          <w:bdr w:val="none" w:sz="0" w:space="0" w:color="auto" w:frame="1"/>
          <w:lang w:eastAsia="en-AU"/>
        </w:rPr>
        <w:t xml:space="preserve">been </w:t>
      </w:r>
      <w:r w:rsidRPr="005423A5">
        <w:rPr>
          <w:bdr w:val="none" w:sz="0" w:space="0" w:color="auto" w:frame="1"/>
          <w:lang w:eastAsia="en-AU"/>
        </w:rPr>
        <w:t>used to refer to a cluster of behavioural, cognitive and physiological phenomena that may develop after repeated substance use</w:t>
      </w:r>
      <w:r>
        <w:rPr>
          <w:bdr w:val="none" w:sz="0" w:space="0" w:color="auto" w:frame="1"/>
          <w:lang w:eastAsia="en-AU"/>
        </w:rPr>
        <w:t>, however the preferred terminology is now substance use disorder (SUD)</w:t>
      </w:r>
      <w:r w:rsidRPr="005423A5">
        <w:rPr>
          <w:bdr w:val="none" w:sz="0" w:space="0" w:color="auto" w:frame="1"/>
          <w:lang w:eastAsia="en-AU"/>
        </w:rPr>
        <w:t xml:space="preserve">. </w:t>
      </w:r>
    </w:p>
    <w:p w:rsidR="00617EA3" w:rsidRDefault="00617EA3" w:rsidP="00617EA3">
      <w:pPr>
        <w:spacing w:line="276" w:lineRule="auto"/>
        <w:rPr>
          <w:bdr w:val="none" w:sz="0" w:space="0" w:color="auto" w:frame="1"/>
          <w:lang w:eastAsia="en-AU"/>
        </w:rPr>
      </w:pPr>
      <w:r w:rsidRPr="005423A5">
        <w:rPr>
          <w:bdr w:val="none" w:sz="0" w:space="0" w:color="auto" w:frame="1"/>
          <w:lang w:eastAsia="en-AU"/>
        </w:rPr>
        <w:t xml:space="preserve">In the </w:t>
      </w:r>
      <w:r w:rsidRPr="00597991">
        <w:rPr>
          <w:bdr w:val="none" w:sz="0" w:space="0" w:color="auto" w:frame="1"/>
          <w:lang w:eastAsia="en-AU"/>
        </w:rPr>
        <w:t>Diagnostic and Statistical Manual of Mental Disorders</w:t>
      </w:r>
      <w:r w:rsidRPr="005423A5">
        <w:rPr>
          <w:bdr w:val="none" w:sz="0" w:space="0" w:color="auto" w:frame="1"/>
          <w:lang w:eastAsia="en-AU"/>
        </w:rPr>
        <w:t xml:space="preserve"> fifth edition (DSM-5, 2013), </w:t>
      </w:r>
      <w:r w:rsidRPr="00826A04">
        <w:rPr>
          <w:b/>
          <w:bdr w:val="none" w:sz="0" w:space="0" w:color="auto" w:frame="1"/>
          <w:lang w:eastAsia="en-AU"/>
        </w:rPr>
        <w:t>substance use disorder</w:t>
      </w:r>
      <w:r w:rsidRPr="005423A5">
        <w:rPr>
          <w:bdr w:val="none" w:sz="0" w:space="0" w:color="auto" w:frame="1"/>
          <w:lang w:eastAsia="en-AU"/>
        </w:rPr>
        <w:t xml:space="preserve"> </w:t>
      </w:r>
      <w:r>
        <w:rPr>
          <w:bdr w:val="none" w:sz="0" w:space="0" w:color="auto" w:frame="1"/>
          <w:lang w:eastAsia="en-AU"/>
        </w:rPr>
        <w:t xml:space="preserve">(SUD) </w:t>
      </w:r>
      <w:r w:rsidRPr="005423A5">
        <w:rPr>
          <w:bdr w:val="none" w:sz="0" w:space="0" w:color="auto" w:frame="1"/>
          <w:lang w:eastAsia="en-AU"/>
        </w:rPr>
        <w:t xml:space="preserve">was established as a separate condition to reduce confusion associated with the terms dependence, abuse and addiction, and to reduce the stigma experienced by patients given these labels. </w:t>
      </w:r>
    </w:p>
    <w:p w:rsidR="00617EA3" w:rsidRPr="005423A5" w:rsidRDefault="00617EA3" w:rsidP="00617EA3">
      <w:pPr>
        <w:spacing w:line="276" w:lineRule="auto"/>
        <w:rPr>
          <w:bdr w:val="none" w:sz="0" w:space="0" w:color="auto" w:frame="1"/>
          <w:lang w:eastAsia="en-AU"/>
        </w:rPr>
      </w:pPr>
    </w:p>
    <w:p w:rsidR="00617EA3" w:rsidRPr="00CD4D54" w:rsidRDefault="00617EA3" w:rsidP="00617EA3">
      <w:pPr>
        <w:pStyle w:val="Heading4"/>
        <w:spacing w:before="0" w:line="276" w:lineRule="auto"/>
        <w:rPr>
          <w:rFonts w:eastAsia="Times New Roman" w:cs="Times New Roman"/>
          <w:sz w:val="20"/>
          <w:szCs w:val="24"/>
          <w:lang w:eastAsia="en-AU"/>
        </w:rPr>
      </w:pPr>
      <w:r w:rsidRPr="00CD4D54">
        <w:t xml:space="preserve">SafeScript </w:t>
      </w:r>
      <w:r w:rsidRPr="00CD4D54">
        <w:rPr>
          <w:rFonts w:eastAsia="Times New Roman"/>
          <w:lang w:eastAsia="en-AU"/>
        </w:rPr>
        <w:t>Access</w:t>
      </w:r>
    </w:p>
    <w:p w:rsidR="00617EA3" w:rsidRDefault="00617EA3" w:rsidP="00617EA3">
      <w:pPr>
        <w:spacing w:line="276" w:lineRule="auto"/>
        <w:rPr>
          <w:rStyle w:val="Hyperlink"/>
          <w:lang w:eastAsia="en-AU"/>
        </w:rPr>
      </w:pPr>
      <w:r>
        <w:rPr>
          <w:lang w:eastAsia="en-AU"/>
        </w:rPr>
        <w:t>Prescribers (including</w:t>
      </w:r>
      <w:r w:rsidRPr="005D2AA8">
        <w:rPr>
          <w:lang w:eastAsia="en-AU"/>
        </w:rPr>
        <w:t xml:space="preserve"> nurse practitioners</w:t>
      </w:r>
      <w:r>
        <w:rPr>
          <w:lang w:eastAsia="en-AU"/>
        </w:rPr>
        <w:t>)</w:t>
      </w:r>
      <w:r w:rsidRPr="005D2AA8">
        <w:rPr>
          <w:lang w:eastAsia="en-AU"/>
        </w:rPr>
        <w:t xml:space="preserve"> and pharmacists will have access to SafeScript to view records of all </w:t>
      </w:r>
      <w:r>
        <w:rPr>
          <w:lang w:eastAsia="en-AU"/>
        </w:rPr>
        <w:t xml:space="preserve">monitored </w:t>
      </w:r>
      <w:r w:rsidRPr="005D2AA8">
        <w:rPr>
          <w:lang w:eastAsia="en-AU"/>
        </w:rPr>
        <w:t xml:space="preserve">high-risk medicines that have been supplied to patients under their care. For more information and FAQs about SafeScript privacy visit </w:t>
      </w:r>
      <w:hyperlink r:id="rId7" w:history="1">
        <w:r>
          <w:rPr>
            <w:rStyle w:val="Hyperlink"/>
            <w:lang w:eastAsia="en-AU"/>
          </w:rPr>
          <w:t>health.vic.gov.au/SafeS</w:t>
        </w:r>
        <w:r w:rsidRPr="00BC5947">
          <w:rPr>
            <w:rStyle w:val="Hyperlink"/>
            <w:lang w:eastAsia="en-AU"/>
          </w:rPr>
          <w:t>cript</w:t>
        </w:r>
      </w:hyperlink>
    </w:p>
    <w:p w:rsidR="00617EA3" w:rsidRDefault="00617EA3" w:rsidP="00617EA3">
      <w:pPr>
        <w:spacing w:line="276" w:lineRule="auto"/>
        <w:rPr>
          <w:lang w:eastAsia="en-AU"/>
        </w:rPr>
      </w:pPr>
      <w:r w:rsidRPr="00A942DC">
        <w:rPr>
          <w:lang w:eastAsia="en-AU"/>
        </w:rPr>
        <w:t xml:space="preserve">For health professionals working in hospitals, </w:t>
      </w:r>
      <w:r>
        <w:rPr>
          <w:lang w:eastAsia="en-AU"/>
        </w:rPr>
        <w:t xml:space="preserve">or where the system interfaces are not yet in place, </w:t>
      </w:r>
      <w:r w:rsidRPr="00A942DC">
        <w:rPr>
          <w:lang w:eastAsia="en-AU"/>
        </w:rPr>
        <w:t xml:space="preserve">access is via the </w:t>
      </w:r>
      <w:r>
        <w:rPr>
          <w:lang w:eastAsia="en-AU"/>
        </w:rPr>
        <w:t xml:space="preserve">SafeScript </w:t>
      </w:r>
      <w:r w:rsidRPr="00A942DC">
        <w:rPr>
          <w:lang w:eastAsia="en-AU"/>
        </w:rPr>
        <w:t>portal.</w:t>
      </w:r>
    </w:p>
    <w:p w:rsidR="00617EA3" w:rsidRPr="00EC7089" w:rsidRDefault="00617EA3" w:rsidP="00617EA3">
      <w:pPr>
        <w:spacing w:line="276" w:lineRule="auto"/>
        <w:rPr>
          <w:lang w:eastAsia="en-AU"/>
        </w:rPr>
      </w:pPr>
    </w:p>
    <w:p w:rsidR="00617EA3" w:rsidRPr="005423A5" w:rsidRDefault="00617EA3" w:rsidP="00617EA3">
      <w:pPr>
        <w:keepNext/>
        <w:keepLines/>
        <w:spacing w:after="0" w:line="276" w:lineRule="auto"/>
        <w:outlineLvl w:val="3"/>
        <w:rPr>
          <w:rFonts w:eastAsiaTheme="majorEastAsia" w:cstheme="majorBidi"/>
          <w:b/>
          <w:i/>
          <w:iCs/>
          <w:lang w:eastAsia="en-AU"/>
        </w:rPr>
      </w:pPr>
      <w:r w:rsidRPr="005423A5">
        <w:rPr>
          <w:rFonts w:eastAsiaTheme="majorEastAsia" w:cstheme="majorBidi"/>
          <w:b/>
          <w:i/>
          <w:iCs/>
          <w:lang w:eastAsia="en-AU"/>
        </w:rPr>
        <w:t>Substance use disorder</w:t>
      </w:r>
    </w:p>
    <w:p w:rsidR="00617EA3" w:rsidRPr="005423A5" w:rsidRDefault="00617EA3" w:rsidP="00617EA3">
      <w:pPr>
        <w:spacing w:line="276" w:lineRule="auto"/>
      </w:pPr>
      <w:r w:rsidRPr="005423A5">
        <w:t xml:space="preserve">Substance use disorder (SUD) is a problematic pattern of substance use leading to clinically significant impairment or distress. </w:t>
      </w:r>
    </w:p>
    <w:p w:rsidR="00617EA3" w:rsidRPr="005423A5" w:rsidRDefault="00617EA3" w:rsidP="00617EA3">
      <w:pPr>
        <w:spacing w:line="276" w:lineRule="auto"/>
      </w:pPr>
      <w:r w:rsidRPr="005423A5">
        <w:t xml:space="preserve">In the DSM-5, SUD now encompasses substance dependence and substance abuse. </w:t>
      </w:r>
    </w:p>
    <w:p w:rsidR="00617EA3" w:rsidRPr="005423A5" w:rsidRDefault="00617EA3" w:rsidP="00617EA3">
      <w:pPr>
        <w:spacing w:line="276" w:lineRule="auto"/>
      </w:pPr>
      <w:r w:rsidRPr="005423A5">
        <w:t xml:space="preserve">The essential feature of SUD is a cluster of cognitive, behavioural and physiological symptoms indicating that an individual is continuing to use a substance despite significant substance-related problems. </w:t>
      </w:r>
    </w:p>
    <w:p w:rsidR="00617EA3" w:rsidRDefault="00617EA3" w:rsidP="00617EA3">
      <w:pPr>
        <w:spacing w:line="276" w:lineRule="auto"/>
        <w:rPr>
          <w:rFonts w:eastAsia="Times New Roman" w:cs="Times New Roman"/>
          <w:color w:val="0563C1"/>
          <w:u w:val="single"/>
        </w:rPr>
      </w:pPr>
      <w:r w:rsidRPr="005423A5">
        <w:rPr>
          <w:rFonts w:eastAsia="Times New Roman" w:cs="Times New Roman"/>
        </w:rPr>
        <w:t xml:space="preserve">For more information on the specific criteria for SUD, refer to Section 4.2.2 (‘Assessment of substance use disorder’) in </w:t>
      </w:r>
      <w:r w:rsidRPr="00D6370A">
        <w:rPr>
          <w:rFonts w:eastAsia="Times New Roman" w:cs="Times New Roman"/>
          <w:i/>
        </w:rPr>
        <w:t xml:space="preserve">Prescribing drugs of dependence in general practice, Part A: Clinical </w:t>
      </w:r>
      <w:r w:rsidRPr="00D6370A">
        <w:rPr>
          <w:rFonts w:eastAsia="Times New Roman" w:cs="Times New Roman"/>
          <w:i/>
          <w:lang w:eastAsia="en-AU"/>
        </w:rPr>
        <w:t>governance</w:t>
      </w:r>
      <w:r w:rsidRPr="00D6370A">
        <w:rPr>
          <w:rFonts w:eastAsia="Times New Roman" w:cs="Times New Roman"/>
          <w:i/>
        </w:rPr>
        <w:t xml:space="preserve"> framework (2015)</w:t>
      </w:r>
      <w:r w:rsidRPr="00CD4D54">
        <w:rPr>
          <w:rFonts w:eastAsia="Times New Roman" w:cs="Times New Roman"/>
        </w:rPr>
        <w:t>.</w:t>
      </w:r>
      <w:r w:rsidRPr="005423A5">
        <w:rPr>
          <w:rFonts w:eastAsia="Times New Roman" w:cs="Times New Roman"/>
          <w:color w:val="0563C1"/>
          <w:u w:val="single"/>
        </w:rPr>
        <w:t xml:space="preserve"> </w:t>
      </w:r>
    </w:p>
    <w:p w:rsidR="00617EA3" w:rsidRDefault="00617EA3" w:rsidP="00617EA3">
      <w:pPr>
        <w:spacing w:line="276" w:lineRule="auto"/>
        <w:rPr>
          <w:rFonts w:eastAsia="Times New Roman" w:cs="Times New Roman"/>
          <w:color w:val="0563C1"/>
          <w:u w:val="single"/>
        </w:rPr>
      </w:pPr>
    </w:p>
    <w:p w:rsidR="00617EA3" w:rsidRDefault="00617EA3" w:rsidP="00617EA3">
      <w:pPr>
        <w:pStyle w:val="Caption"/>
        <w:spacing w:line="276" w:lineRule="auto"/>
      </w:pPr>
      <w:r>
        <w:rPr>
          <w:bdr w:val="none" w:sz="0" w:space="0" w:color="auto" w:frame="1"/>
        </w:rPr>
        <w:t xml:space="preserve">*DSM-5 = </w:t>
      </w:r>
      <w:r w:rsidRPr="00D074BC">
        <w:rPr>
          <w:bdr w:val="none" w:sz="0" w:space="0" w:color="auto" w:frame="1"/>
        </w:rPr>
        <w:t>Diagnostic and Statistical Manual of Mental Disorders fifth edition</w:t>
      </w:r>
      <w:r>
        <w:rPr>
          <w:bdr w:val="none" w:sz="0" w:space="0" w:color="auto" w:frame="1"/>
        </w:rPr>
        <w:t xml:space="preserve"> (2013)</w:t>
      </w:r>
    </w:p>
    <w:p w:rsidR="00617EA3" w:rsidRDefault="00617EA3"/>
    <w:sectPr w:rsidR="00617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CDA"/>
    <w:multiLevelType w:val="hybridMultilevel"/>
    <w:tmpl w:val="5802DFF4"/>
    <w:lvl w:ilvl="0" w:tplc="A28A033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516BA"/>
    <w:multiLevelType w:val="hybridMultilevel"/>
    <w:tmpl w:val="919EEAA0"/>
    <w:lvl w:ilvl="0" w:tplc="B38C8D1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7EE6"/>
    <w:multiLevelType w:val="hybridMultilevel"/>
    <w:tmpl w:val="0DF60084"/>
    <w:lvl w:ilvl="0" w:tplc="F51E463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07CE3"/>
    <w:multiLevelType w:val="hybridMultilevel"/>
    <w:tmpl w:val="ECD6961A"/>
    <w:lvl w:ilvl="0" w:tplc="91726E62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38F83C5D"/>
    <w:multiLevelType w:val="multilevel"/>
    <w:tmpl w:val="DD50EBBE"/>
    <w:lvl w:ilvl="0">
      <w:start w:val="1"/>
      <w:numFmt w:val="bullet"/>
      <w:pStyle w:val="NPSbullet2"/>
      <w:lvlText w:val=""/>
      <w:lvlJc w:val="left"/>
      <w:pPr>
        <w:ind w:left="717" w:hanging="360"/>
      </w:pPr>
      <w:rPr>
        <w:rFonts w:ascii="Symbol" w:hAnsi="Symbol" w:hint="default"/>
        <w:b/>
        <w:i w:val="0"/>
        <w:color w:val="401E6C"/>
        <w:spacing w:val="0"/>
        <w:w w:val="100"/>
        <w:position w:val="3"/>
        <w:sz w:val="16"/>
      </w:rPr>
    </w:lvl>
    <w:lvl w:ilvl="1">
      <w:start w:val="1"/>
      <w:numFmt w:val="bullet"/>
      <w:pStyle w:val="subbullet"/>
      <w:lvlText w:val="–"/>
      <w:lvlJc w:val="left"/>
      <w:pPr>
        <w:tabs>
          <w:tab w:val="num" w:pos="1067"/>
        </w:tabs>
        <w:ind w:left="1067" w:hanging="357"/>
      </w:pPr>
      <w:rPr>
        <w:rFonts w:ascii="Times New Roman" w:hAnsi="Times New Roman" w:cs="Times New Roman" w:hint="default"/>
        <w:b w:val="0"/>
        <w:i w:val="0"/>
        <w:color w:val="00326C"/>
        <w:position w:val="2"/>
        <w:sz w:val="19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E34630C"/>
    <w:multiLevelType w:val="hybridMultilevel"/>
    <w:tmpl w:val="74848B46"/>
    <w:lvl w:ilvl="0" w:tplc="622A73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A0D7C"/>
    <w:multiLevelType w:val="multilevel"/>
    <w:tmpl w:val="F6F0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8492C20"/>
    <w:multiLevelType w:val="hybridMultilevel"/>
    <w:tmpl w:val="C79AD5A6"/>
    <w:lvl w:ilvl="0" w:tplc="755A9F3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83510C0"/>
    <w:multiLevelType w:val="multilevel"/>
    <w:tmpl w:val="AFA03A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2C2404D"/>
    <w:multiLevelType w:val="hybridMultilevel"/>
    <w:tmpl w:val="270A2A22"/>
    <w:lvl w:ilvl="0" w:tplc="2D5C9A4C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AB1BEE"/>
    <w:multiLevelType w:val="hybridMultilevel"/>
    <w:tmpl w:val="4A32DA6C"/>
    <w:lvl w:ilvl="0" w:tplc="81E47BE2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1"/>
  </w:num>
  <w:num w:numId="5">
    <w:abstractNumId w:val="5"/>
  </w:num>
  <w:num w:numId="6">
    <w:abstractNumId w:val="7"/>
  </w:num>
  <w:num w:numId="7">
    <w:abstractNumId w:val="7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A3"/>
    <w:rsid w:val="000C7E6D"/>
    <w:rsid w:val="00604BB4"/>
    <w:rsid w:val="00617EA3"/>
    <w:rsid w:val="00A338A3"/>
    <w:rsid w:val="00B03399"/>
    <w:rsid w:val="00E7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2009"/>
  <w15:chartTrackingRefBased/>
  <w15:docId w15:val="{8E13B421-EB86-478E-AB90-4C048CA6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EA3"/>
    <w:rPr>
      <w:rFonts w:ascii="Arial" w:eastAsiaTheme="minorHAnsi" w:hAnsi="Arial"/>
      <w:szCs w:val="28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728D5"/>
    <w:pPr>
      <w:keepNext/>
      <w:keepLines/>
      <w:numPr>
        <w:numId w:val="15"/>
      </w:numPr>
      <w:spacing w:before="240" w:after="240"/>
      <w:ind w:left="357" w:hanging="357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7EA3"/>
    <w:pPr>
      <w:keepNext/>
      <w:keepLines/>
      <w:tabs>
        <w:tab w:val="num" w:pos="720"/>
      </w:tabs>
      <w:spacing w:before="40"/>
      <w:ind w:left="360" w:hanging="36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E728D5"/>
    <w:pPr>
      <w:keepNext w:val="0"/>
      <w:keepLines w:val="0"/>
      <w:spacing w:before="120" w:after="240"/>
      <w:ind w:left="1494" w:hanging="720"/>
      <w:contextualSpacing/>
      <w:outlineLvl w:val="2"/>
    </w:pPr>
    <w:rPr>
      <w:rFonts w:ascii="Arial" w:hAnsi="Arial"/>
      <w:b w:val="0"/>
      <w:i/>
      <w:spacing w:val="-10"/>
      <w:kern w:val="28"/>
      <w:sz w:val="24"/>
      <w:szCs w:val="40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7EA3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">
    <w:name w:val="Table Content"/>
    <w:autoRedefine/>
    <w:qFormat/>
    <w:rsid w:val="00A338A3"/>
    <w:pPr>
      <w:spacing w:before="20" w:after="20" w:line="240" w:lineRule="auto"/>
    </w:pPr>
    <w:rPr>
      <w:rFonts w:ascii="Arial" w:eastAsiaTheme="minorHAnsi" w:hAnsi="Arial"/>
      <w:sz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E728D5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7EA3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728D5"/>
    <w:rPr>
      <w:rFonts w:ascii="Arial" w:eastAsiaTheme="majorEastAsia" w:hAnsi="Arial" w:cstheme="majorBidi"/>
      <w:i/>
      <w:color w:val="2E74B5" w:themeColor="accent1" w:themeShade="BF"/>
      <w:spacing w:val="-10"/>
      <w:kern w:val="28"/>
      <w:sz w:val="24"/>
      <w:szCs w:val="40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617EA3"/>
    <w:rPr>
      <w:rFonts w:ascii="Arial" w:eastAsiaTheme="majorEastAsia" w:hAnsi="Arial" w:cstheme="majorBidi"/>
      <w:b/>
      <w:i/>
      <w:iCs/>
      <w:szCs w:val="28"/>
      <w:lang w:val="en-AU"/>
    </w:rPr>
  </w:style>
  <w:style w:type="character" w:styleId="Strong">
    <w:name w:val="Strong"/>
    <w:basedOn w:val="DefaultParagraphFont"/>
    <w:uiPriority w:val="22"/>
    <w:qFormat/>
    <w:rsid w:val="00617EA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17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7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EA3"/>
    <w:rPr>
      <w:rFonts w:ascii="Arial" w:eastAsiaTheme="minorHAnsi" w:hAnsi="Arial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617EA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uiPriority w:val="99"/>
    <w:unhideWhenUsed/>
    <w:rsid w:val="00617EA3"/>
    <w:rPr>
      <w:color w:val="0563C1"/>
      <w:u w:val="single"/>
    </w:rPr>
  </w:style>
  <w:style w:type="paragraph" w:customStyle="1" w:styleId="NPSbullet2">
    <w:name w:val="NPS bullet2"/>
    <w:basedOn w:val="Normal"/>
    <w:link w:val="NPSbullet2Char"/>
    <w:qFormat/>
    <w:rsid w:val="00617EA3"/>
    <w:pPr>
      <w:numPr>
        <w:numId w:val="18"/>
      </w:numPr>
      <w:spacing w:line="264" w:lineRule="auto"/>
      <w:contextualSpacing/>
    </w:pPr>
    <w:rPr>
      <w:rFonts w:eastAsia="Times New Roman" w:cs="Arial"/>
      <w:szCs w:val="24"/>
      <w:lang w:eastAsia="en-AU"/>
    </w:rPr>
  </w:style>
  <w:style w:type="paragraph" w:customStyle="1" w:styleId="subbullet">
    <w:name w:val="sub bullet"/>
    <w:basedOn w:val="NPSbullet2"/>
    <w:link w:val="subbulletChar"/>
    <w:qFormat/>
    <w:rsid w:val="00617EA3"/>
    <w:pPr>
      <w:numPr>
        <w:ilvl w:val="1"/>
      </w:numPr>
      <w:tabs>
        <w:tab w:val="clear" w:pos="1067"/>
        <w:tab w:val="num" w:pos="1071"/>
      </w:tabs>
      <w:spacing w:line="240" w:lineRule="auto"/>
    </w:pPr>
  </w:style>
  <w:style w:type="character" w:customStyle="1" w:styleId="NPSbullet2Char">
    <w:name w:val="NPS bullet2 Char"/>
    <w:basedOn w:val="DefaultParagraphFont"/>
    <w:link w:val="NPSbullet2"/>
    <w:rsid w:val="00617EA3"/>
    <w:rPr>
      <w:rFonts w:ascii="Arial" w:hAnsi="Arial" w:cs="Arial"/>
      <w:szCs w:val="24"/>
      <w:lang w:val="en-AU" w:eastAsia="en-AU"/>
    </w:rPr>
  </w:style>
  <w:style w:type="character" w:customStyle="1" w:styleId="subbulletChar">
    <w:name w:val="sub bullet Char"/>
    <w:basedOn w:val="NPSbullet2Char"/>
    <w:link w:val="subbullet"/>
    <w:rsid w:val="00617EA3"/>
    <w:rPr>
      <w:rFonts w:ascii="Arial" w:hAnsi="Arial" w:cs="Arial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A3"/>
    <w:rPr>
      <w:rFonts w:ascii="Segoe UI" w:eastAsiaTheme="minorHAns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health.vic.gov.au/public-health/drugs-and-poisons/SafeScri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health.vic.gov.au/public-health/drugs-and-poisons/SafeScrip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Evologic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Susnja</dc:creator>
  <cp:keywords/>
  <dc:description/>
  <cp:lastModifiedBy>Megan Susnja</cp:lastModifiedBy>
  <cp:revision>1</cp:revision>
  <dcterms:created xsi:type="dcterms:W3CDTF">2019-01-08T02:14:00Z</dcterms:created>
  <dcterms:modified xsi:type="dcterms:W3CDTF">2019-01-08T02:15:00Z</dcterms:modified>
</cp:coreProperties>
</file>